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VENDIM</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Nr. 467, datë 3.10.2002</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PËR MIRATIMIN E KONTRATËS KONCESIONARE TË FORMËS “ROT” NDËRMJET MINISTRISË SË INDUSTRISË DHE ENERGJETIKËS DHE MINISTRISË SË EKONOMISË, NGA NJËRA ANË, DHE SHOQËRISË ITALIANE “ESSEGEI”, S.R.L., NGA ANA TJETËR, PËR HIDROCENTRALET VENDORE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Në mbështetje të nenit 100 të Kushtetutës, të neneve 5 e 9 pika 3 të ligjit nr.7973, datë 26.7.1995 "Për koncesionet dhe pjesëmarrjen e sektorit privat në shërbimet publike dhe infrastrukturë" dhe të nenit 2 të ligjit nr.8527, datë 23.9.1999 "Për privatizimin e hidrocentraleve vendore" me propozimin e Ministrit të Industrisë dhe Energjetikës dhe të Ministrit të Ekonomisë, Këshilli i Ministrave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VENDOSI: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1. Miratimin e Kontratës Koncecionare të formës "ROT" ndërmjet Ministrisë së Industrisë dhe Energjetikës dhe Ministrisë së Ekonomisë, nga njëra anë, dhe shoqërisë italiane "ESSEGEI" s.r.l., nga ana tjetër, për hidrocentralet vendore, sipas listës së aneksit nr.1,  që i bashkëlidhet Kontratës.</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2. Ngarkohen Ministria e Industrisë dhe Energjetikës dhe Ministria e Ekonomisë për zbatimin e kësaj Kontrate.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Ky vendim hyn në fuqi pas botimit në Fletoren Zyrtare.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KRYEMINISTRI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Fatos Nano</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b/>
          <w:sz w:val="24"/>
          <w:szCs w:val="24"/>
          <w:lang w:val="en-GB"/>
        </w:rPr>
        <w:t xml:space="preserve">Marrëveshje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lastRenderedPageBreak/>
        <w:t>koncesioni ndërmjet Ministrisë së Industrisë dhe Energjetikës dhe Ministrisë së Ekonomisë të Republikës së Shqipërisë, të përfaqësuar LIGJËRISHT nga…Dhe Kompanisë italiane "ESSEGEI" s.r.l., përfaqësuar nga Presidenti Vincenzo Marco Jorio,</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Më poshtë referuar si "Koncesionari".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Meqenëse, Qeveria Shqiptare: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konsideron privatizimin e sektorit elektroenergjetik si një mjet të rëndësishëm të politikës energjetike dhe konfirmon një interes të lartë në privatizimin e hidrocentraleve vendore për të vlerësuar asetet publike  (objektet dhe makineritë) që po degradohen;</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vlerëson formulën e koncesionit ROT, sepse kjo bën të mundur rehabilitimin e hidrocentraleve vendore pa prekur Buxhetin e Shtetit;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mirëpret kompanitë private në rehabilitimin, ruajtjen e aseteve dhe të kapaciteteve prodhuese të hidrocentraleve vendore, si dhe fuqizimin e disave prej tyre;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autorizon KESH-in si të vetmin marrës aktual të energjisë elektrike, të përcaktojë dhe të firmosë një kontratë efektive blerjeje me Koncesionarin;</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autorizon, sipas vendimit të Këshillit të Ministrave nr. 355, datë 27.5.2001, Minisrinë e Industrisë dhe Energjetikës dhe Ministrinë e Ekonomisë të negociojnë dhe të firmosin Kontratën e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Ndërsa, Koncesionari: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është seriozisht i interesuar të investojë në fushën e elektroenergjetikës;</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ka ndërmarrë studimin e pre-fizibilitetit "Identifikimi i aftësisë së investimeve në hidrocentralet e vogla në Shqipëri” për një numër të dhënë hidrocentralesh dhe ka kryer vëzhgime dhe inspektime në këto hidrocentrale;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ka kryer vlerësime të reja, nëpërmjet specialistëve me eksperiencë, që gjykojnë hidrocentralet me mjaft interes, pavarësisht nga gjendja e tyre aktuale;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beson plotësisht që Qeveria Shqiptare do të mbështesë përpjekjen e Koncesionarit në gjetjen e zgjidhjeve efektive; për problemet e evidentuara në studimin e pre-fizibilitetit (kompleksiteti, rreziqet, politikën aktuale të çmimeve);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konsideron që ndërmarrja mund të bëhet e suksesshme në kushte të caktuara ekonomike dhe operuese;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 është e aftë të rehabilitojë dhe menaxhojë hidrocentralet e vogla lokale (HPP) në listën e miratuar, me përjashtim të listës që jepet në aneksin nr. 2 të kësaj Kontrate;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Ndërsa, Palët: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marrin parasysh pëlqimin të shprehur formalisht nga KESH-i për sa ka të bëjë me blerjen e elektricitetit nga Koncesionari, sipas kushteve të pranuara nga Palët (KESH dhe Koncesionari);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bien dakord që të bashkëpunojnë për realizimin e plotë të Projektit.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Palët ranë dakord si më poshtë: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Përkufizime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Kudo që në këtë Kontratë përdoren termat e mëposhtëm do të kenë kuptimet përkatëse të shënuara:</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Kontrata e Koncesionit: Kjo Marrëveshje dhe anekset e saj.</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Kontrata: Të gjitha kontratat që mund të lidhen në të ardhmen nga Koncesionari.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Ndryshimi i ligjit: Do të thotë çdo akt që ka karakter rregullator ose ligjor të miratuar nga autoritetet kompetente të Republikës së Shqipërisë ose që ka hyrë në fuqi pas nënshkrimit të kësaj Kontrate.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Organi Shtetëror i Autorizuar (OSHA): Ministria e Industrisë dhe Energjetikës dhe Ministria e Ekonomisë të Republikës së Shqipërisë.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Lejet: Lejet, licencat, autorizimet dhe koncesionet që Koncesionari mund t’i kërkojë autoriteteve kompetente në Republikën e Shqipërisë për zbatimin e plotë të Projektit, si dhe për stafin e vet, në bazë të ligjeve në fuqi në Republikën e Shqipërisë.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Koncesionari: "ESSEGEI" s.r.l.</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Hidrocentralet: Përcaktohen me vendimin nr. 355, datë 27.5.2001 të Këshillit të Ministrave "Për miratimin e dhënies në koncesion të hidrocentraleve vendore", me përjashtim të hidrocentraleve  të përshkruara në aneksin nr.2.</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Projekti: Rehabilitimi i hidrocentraleve të vogla vendore në të gjithë Shqipërinë (0.2-1.2 MWA fuqi), sipas listës së mëposhtme, dhe në përputhje me formën ROT (Rehabilitim-Shfrytëzim-Transferim).</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Fillimi i Projektit: Janë një seri veprimtarish komplekse (verifikimi i gjendjes aktuale, plani i ristrukturimit, programimi i marrjes në dorëzim të hidrocentraleve) që do të kryen nga Koncesionari dhe nga entitete të autorizuara për të bërë të mundur fillimin e implementimit të Projektit, me pjesëmarrjen dhe asistencën aktive të ASE-së.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2</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Objekti i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Objekt i kësaj Kontrate është dhënia me koncesion e hidrocentraleve (si përcaktohen në nenin 1), në përputhje me  formën ROT: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xml:space="preserve">(a) rikonstruksioni rinovimi-rehabilitimi, rifuqizimi me një nivel të pranueshëm suksesi;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xml:space="preserve">(b) shfrytëzimi optimal tekniko-ekonomik i tyre;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(c) kthimi i aseteve të rehabilituar shtetit, në parametrat teknike dhe sipas investimeve të parashikuara.</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3</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Kohëzgjatja e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Kontrata e Koncesionit për H/C e sipërpërmendur do të ketë një kohëzgjatje prej 30 (tridhjetë) vjetësh, duke filluar nga data e hyrjes në fuqi të Kontratës.</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4</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Detyrimet e Koncesionarit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Koncesionari është i detyruar të zbatojë Projektin dhe objektivat e Marrëveshjes lidhur me termat dhe kushtet e saj.</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detaje, Koncesionari angazhohet që: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brenda 30 ditëve nga nënshkrimi i kësaj Marrëveshjeje, Koncesionari do të formojë Shoqërinë Koncesionare dhe do të bëjë regjistrimet e nevojshme për të lejuar shoqërinë të zhvillojë veprimtarinë e saj në Shqipëri, si dhe do t’u nënshtrohet të gjitha dispozitave ligjore shqiptare që rregullojnë veprimtarinë e shoqërive tregtare;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implementojë programin e fillimit të punës për  pjesën që është nën përgjegjësinë e tij, si dhe nëpërmjet bashkëpunimit aktiv me OSHA-në;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rinovojë H/C sipas përcaktimit të nenit 1, nëpërmjet projektit të financimit për një shumë deri në 10 (dhjetë) milion US $, por jo më pak se 8 (tetë) milion USA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marrë masa me qëllim që çdo punim i besuar në Projekt të jetë i përmbushur në përputhje me afatet dhe me cilësinë e parashikuar në këtë Kontratë;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ruajë e të administrojë objektin e Kontratës dhe të shesë energjinë e prodhuar, gjatë gjithë periudhës së koncesionit, në përputhje me specifikimet e kësaj Kontrate;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në veprimtarinë e tij, të respektojë legjislacionin shqiptar në fuqi, në veçanti për fushën ku vepron, të respektojë ligjet për energjinë elektrike dhe për sektorin elektroenergjetik;</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marrë të gjitha masat paraprake, me qëllim që të garantojë kushte teknike për punëtorët dhe për të tretët për të shmangur dëmet ndaj pronës publike dhe private dhe të respektojë legjislacionin në fuqi, si dhe dispozitat e tjera për të parandaluar çdo dëm e fatkeqësi në punë;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përcaktojë kontrata të përshtatshme sigurimi për të mbuluar çdo risk të mundshëm gjatë kohëzgjatjes së koncesionit, edhe ndaj Palëve të treta;</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në përfundim të koncesionit (30 vjet), Koncesionari është i detyruar t’i dorëzojë OSHA-së të gjitha H/C në gjendje pune (përveç veprimit të forcave madhore) dhe me një rezervë të pjesëve të këmbimit për një vit.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Koncesionari nuk përgjigjet për të gjitha detyrimet që objektet e marra në koncesion kanë ndaj shtetit dhe të tretëve deri në hyrjen në fuqi të kësaj Kontrate.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5</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Detyrimet e OSHA-së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Organi Shtetëror i Autorizuar (OSHA) angazhohet të garantojë dhe të marrë përsipër detyrimet e mëposhtme: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-Të bashkëpunojë në mënyrë aktive për inventarizimin e objekteve, duke bërë të mundur vërtetimin e gjendjes aktuale në të cilat ndodhen objektet e koncesionit, që Koncesionari angazhohet të përpilojë brenda programit të fillimit të punimeve.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ndihmojë Koncesionarin në përgatitjen e një seri rregullash e orientimesh për aplikimet, marrëveshjet ose kontratat e nevojshme për zbatimin e Projektit, si përcaktohet në nenin: asistencë në aplikim; mbështetje e marrëveshjeve me institucionet e përshtatshme (të punës, të shitjes së energjisë, të ujërave); mbështetje në aplikimet (garancitë dhe taksat).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asistojë Koncesionarin në finalizimin e një marrëveshjeje afatgjatë për shitjen e energjisë elektrike me KESH-in (Korporata Elektro-Energjetike Shqiptare). Për këtë qëllim, sipas çmimit të shitjes së energjisë elektrike të aprovuar nga ERE-ja (Enti Rregullues i Energjisë), KESH-i sh.a. është i autorizuar të firmosë me Koncesionarin një marrëveshje afatgjatë për shitjen e energjisë elektrike për energjinë e prodhuar.</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asistojë Koncesionarin pranë KESH-it ose institucioneve të ngarkuara në nxjerrjen e të gjitha autorizimeve të nevojshme, lejet e punimeve, lejet e ndërtimeve dhe ato të mbrojtjes së mjedisit, sipas kërkesave të bëra nga Koncesionari për transmetimin në linjat e tensionit të mesëm të energjisë së prodhuar. Kërkesat do të jenë të përpiluara në formën që e kërkon ligji i koncesionit për të gjithë kohëzgjatjen e tij.</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marrë përsipër zgjidhjen e çdo problemi, që lidhet me pretendimet e personave fizikë dhe juridikë të ndryshëm për pronësinë mbi objektet e dhëna në koncesion.</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ofrojë asistencën e nevojshme për të organizuar sigurimin fizik të objekteve të koncesionit, në përputhje me legjislacionin shqiptar.</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asistojë Koncesionarin pranë çdo organi e autoriteti shqiptar për realizimin e Projektit të tij dhe t’i garantojë Koncesionarit ekskluzivitetin për realizimin e Projektit mbi objektet e dhëna në koncesion, gjatë gjithë kohëzgjatjes së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asistojë Koncesionarin në zgjidhjen e problemit të shpërdorimit të rezervave ujore pranë Komitetit Kombëtar të Ujërave, në përputhje me legjislacionin shqiptar.</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Të ndihmojë Koncesionarin në zgjidhjen e mosmarrëveshjeve me KESH-in dhe institucione të tjera, administratat lokale, bashkitë e komunat, ndërmarrjet e ujërave etj.</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6</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Mbështetja për Projektin</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OSHA-ja do të paraqesë në Këshillin e Ministrave projektligje për përjashtimin e Koncesionarit, për kohën e investimeve, nga detyrimet e taksave, TVSH-ja për makineritë, mjete dhe materialet e tjera, të cilat do të përdoren për investime sipas specifikimeve në Projekt dhe në marrëveshje me OSHA-në.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7</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Vlerësimi i investimeve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Nga të dhënat efektive, investimi për rehabilitimin e hidrocentraleve do të jetë në vlerën 8 milionë USD. Vlerësimi i mësipërm mund të rishikohet: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sipas rezultateve të vlerësimeve (vërtetimi i gjendjes së centraleve të të dhënave dhe informacionit që mund të japë KESH-i);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në çdo kohë gjatë zbatimit të detajuar të Projektit.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8</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Puna, fuqia punëtore dhe riorganizimi i punës</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Analiza e hollësishme e punës, punësimi internal dhe programet e trajnimit do të hartohen në marrëveshje me autoritetet kompetente dhe do të implementohen sipas legjislacionit shqiptar në fuqi.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9</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Programi i punimeve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Palët angazhohen të respektojnë programin e mëposhtëm:</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 Koncesionari garanton aktivizimin e programit të fillimit të punës brenda një afati prej 60 ditësh, duke filluar nga data e hyjres në fuqi të Kontratës së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OSHA-ja ka të drejtë të prishë Kontratën në mënyrë të njëanshme, nëse Koncesionari, brenda 60 ditësh nga data e hyjres në fuqi të kësaj Kontrate, nuk realizon detyrimet kontraktuale të mësipërme.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OSHA-ja ka të drejtë të prishë kontratën në mënyrë të njëanshme nëse Koncesionari nuk kryen Programin e Investimeve. Në këtë rast, investimet e bëra nga Koncesionari deri në momentin e heqjes së Koncesionit do të mbeten pronë e OSHA-së.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Koncesionari garanton të përfundojnë Projektin brenda një afati 6 vjetësh, duke filluar nga data e marrjes në dorëzim të hidrocentralit të parë.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Këto afate mund të ndryshohen me marrëveshje midis dy Palëve.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10</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Zgjidhja e Kontratës së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OSHA-ja dhe Koncesionari mund të kërkojnë të anulojnë këtë Marrëveshje nëse Pala tjetër nuk plotëson detyrimet për zbatimin e kësaj Marrëveshjeje dhe sipas legjislacionit shqiptar.</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rast të konfirmimit të çështjes për pretendimet e kësaj Marrëveshjeje, Pala e dëmtuar do të njoftojë menjëherë për këto pretendime Palën tjetër, e cila, brenda 30 ditëve, duhet të japë një përgjigje argumentuese. Në bazë të kësaj përgjigjeje, Pala e dëmtuar do të gjykojë për të filluar ose jo procedurën për zgjidhjen e Marrëveshjes.</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11</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Marrëveshjet e aplikuara dhe kontratat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Duke iu referuar neneve 1,4,5,8 dhe 22 të kësaj Marrëveshjeje, Koncesionari do të zbatojë Projektin, duke përgatitur, diskutuar, përmbushur dhe firmosur, me pjesëmarrjen aktive të OSHA-së, të gjitha aplikimet, marrëveshjet dhe kontratat.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Koncesionari, për të përmbushur detyrimet e Kontratës së Koncesionit, është gjithashtu i autorizuar të nënshkruajë marrëveshje nënkontraktore me Palë të tjera për rehabilitimin e hidrocentraleve sipas Projektit.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Koncesionari do të ketë përgjegjësi ndaj OSHA-së për të gjitha punimet për rehabilitimin e hiodrocentraleve.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OSHA-ja nuk ka përgjegjësi kundrejt Palëve të treta, punëtorëve apo sipërmarrësve që kanë lidhje me Koncesionarin, përveç detyrimeve që OSHA-ja ka marrë përsipër në këtë Marrëveshje.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12</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Sigurimet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Koncesionari do të sigurojë me shpenzimet e veta objektet e kësaj Kontrate që lidhen me Projektin për të gjithë kohëzgjatjen e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Me kërkesën e OSHA-së, Koncesionari do t’i japë asaj të gjithë dokumentacionin e nevojshëm që ka të bëjë me sigurimet e objekteve.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rast se një objekt i siguruar do të dëmtohet dhe është i mbuluar nga sigurimet, të ardhurat nga siguracioni do të përdoren nga Koncesionari për riparimin e objektit.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13</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Riparimi dhe mirëmbajtja</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Koncesionari do të kryejë me shpenzimet e veta të gjitha llojet e riparimeve dhe mirëmbajtjes në objektet e përcaktuara në këtë Marrëveshje.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14</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Kontrolli i përgjithshëm</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OSHA-ja mund të ushtrojë një kontroll të përgjithshëm gjatë operacioneve të rehabilitimit dhe të përgatitjes për punë, nëpërmjet të autorizuarve në marrëveshje të përbashkët midis Koncesionarit dhe OSHA-së, me qëllim që të verifikojë nëse punimet janë në përputhje me programin e përgjithshëm të realizimit dhe dokumentacionit të Projektit.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Koncesionari duhet të japë të gjitha sqarimet teknike të nevojshme.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rast të shkeljeve të Kontratës, konstatuar gjatë kontrollit të përgjithshëm, kompania do të njoftohet me shkrim dhe do të vërë në zbatim masat e nevojshme për të ardhmen.</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15</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Legjislacioni i zbatueshëm</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Zbatimi dhe interpretimi i kësaj Kontrate Koncesioni do të bazohen në legjislacionin shqiptar në fuqi.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OSHA-ja garanton se të gjitha ligjet dhe rregullat, që eventualisht do të dalin pas nënshkrimit të kësaj Kontrate, nuk do të ndryshojnë detyrimet kontraktuale të Palëve.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16</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Transferimi i fitimit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çdo rast, Koncesionari ka të drejta për transferimin e lirë të fitimeve.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Ata gëzojnë të gjitha të drejtat dhe detyrimet që rrjedhin nga legjislacioni shqiptar për investimet e huaja në Shqipëri.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17</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Forca madhore dhe të paparashikura</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Konsiderohen ngjarje të forcës madhore katastrofat e natyrës, përmbytjet, tërmetet ngjarjet e jashtëzakonshme politike, lufta (dhe ndërhyrja e palëve të treta që kanë fuqinë e ligjit) dhe çdo ngjarje e barabartë që mund të ndikojë në objektin e kësaj Kontrate, duke bërë të pamundur përmbushjen e detyrimeve reciproke të Kontratës, që kanë të bëjnë me vullnetin e Palëve.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Palët nuk do të jenë përgjegjëse nëse nuk arrijnë detyrimet e tyre të kësaj Kontrate si rezultat i ngjarjes së forcës madhore.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këtë rast, kur një detyrim i kësaj Kontrate do të prishet ose do të hiqet si rezultat i forcës madhore, Pala e dëmtuar është e detyruar të njoftojë me shkrim Palën tjetër, duke i treguar dhe arsyetuar shtyrjen e punimeve ose braktisjen e tyre, si dhe masat që do të merren për të parandaluar pasojat.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Nëse gjatë implementimit të Kontratës do të ketë veprim të forcave madhore atëherë Palët mund të mos zbatojnë detyrimet e tyre, në këtë rast nuk do të kërkohet kompensim reciprok nga Palët.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Kufijtë e ndërprerjes së punës dhe të shtyrjes në kohë të punimeve do të konfirmohet nga Palët në një procesverbal të ngjarjes.</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Si rrjedhim i ngjarjeve të shkaktuara nga një forcë madhore, kohëzgjatja e koncesionit do të zgjatet për një periudhë kohe të mëtejshme e të nevojshme, periudhë që caktohet me marrëveshjen midis dy Palëve.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18</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Hyrja në fuqi e Kontratës së Koncesionit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Kontrata e Koncesionit do të hyjë në fuqi në firmosjen e saj nga Palët dhe mbasi të jetë miratuar me vendim nga Këshilli i Ministrave i Republikës së Shqipërisë, në përputhje me ligjin nr.7973, datë 26.7.1995 “Për koncesionet dhe pjesëmarrjen e sektorit privat në shërbimet dhe infrastrukturën publike”.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19</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Klauzola të përgjithshme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Kjo Marrëveshje, së bashku me të gjithë dokumentacionin, është bërë në gjuhën shqipe dhe angleze. Për ndonjë problem të ngritur me interpretimin dhe përmbushjen e kësaj Marrëveshjeje, versioni anglisht do të mbizotërojë.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Kjo Marrëveshje është hartuar në 7 (shtatë) kopje origjinale, 5 (pesë) prej të cilave do të merren nga Organi Shtetëror i Autorizuar dhe 2 (dy) kopje do të merren nga Koncesionari.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20</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Zgjidhja e mosmarrëveshjeve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Problemet ose mosmarrëveshjet midis Palëve, që kanë lidhje me implementimin dhe interpretimin e kësaj Marrëveshjeje, nuk do të anulojnë detyrimet e Palëve sipas kësaj Marrëveshjeje.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Palët janë të angazhuara të zgjidhin çdo mosmarrëveshjeje duke u bazuar në vullnetin e mirë.</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Në të kundërt, çdo mosmarrëveshje që lidhet me këtë Marrëveshje, si shkeljet, anulimin ose pavlefshmërinë e saj do të zgjidhet përfundimisht nga Gjykata e Arbitrimit, aktualisht në fuqi.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Gjykata e Arbitrimit do të përbëhet nga tre anëtarë. Secila Palë do të emërojë një arbitër dhe anëtari i tretë, i cili do të jetë kryetari, do të zgjidhet nga arbitrat.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Gjykata e Arbitrimit do të vendosë në mënyrë të paanshme për të dyja Palët brenda 90 ditëve të akuzimit.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Selia e arbitrave do të jetë në Londër dhe gjuha e përdorur do të jetë anglisht.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21</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Sanksionet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Mosrespektimi i afateve dhe kushteve të kësaj Marrëveshjeje penalizojnë Palët sipas një vendimi të Gjykatës së mësipërme të Arbitrimit.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22</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Marrja në dorëzim e H/C</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Marrja në dorëzim e H/C do të aktivizohet, në kuadrin e programit të fillimit të punimeve, në përputhje me grafikun e përgatitur me kujdes me Ministrinë e Industrisë dhe Energjisë dhe me KESH-in.</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Neni 23</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Bashkëpunimi midis OSHA-së dhe Koncesionarit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Organi shtetëror i autorizuar dhe Koncesionari janë zotuar të bashkëpunojnë në mënyrë që të garantojnë implementimin e Projektit.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Përveç rasteve kur bien dakord me shkrim për ndonjë formë tjetër, korrespondenca do të dërgohet me letër te personat e mëposhtëm, me postë, telegram ose fax në adresat e mëposhtme:</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tbl>
      <w:tblPr>
        <w:tblW w:w="0" w:type="auto"/>
        <w:tblInd w:w="828" w:type="dxa"/>
        <w:tblLook w:val="01E0"/>
      </w:tblPr>
      <w:tblGrid>
        <w:gridCol w:w="4680"/>
        <w:gridCol w:w="2880"/>
      </w:tblGrid>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Për OSHA-në</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Për Koncesionarin</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Ministria e Industrisë dhe Energjetikës</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“ESSEGEI” S.r.l.</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Sheshi Skënderbej, nr.2</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Via Adda 21,</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Tiranë-Shqipëri</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00198 Roma, Italia</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Për dijeni:</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Fax: ++355 4 234 052</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President</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Vincenzo Marco Jorio</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Ministria e Ekonomisë</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Bulevardi “Zhan d’Ark”, nr.2</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r>
      <w:tr w:rsidR="00256A78" w:rsidRPr="00256A78" w:rsidTr="00256A78">
        <w:tc>
          <w:tcPr>
            <w:tcW w:w="46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Tiranë-Shqipëri</w:t>
            </w:r>
          </w:p>
        </w:tc>
        <w:tc>
          <w:tcPr>
            <w:tcW w:w="2880" w:type="dxa"/>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 </w:t>
            </w:r>
          </w:p>
        </w:tc>
      </w:tr>
    </w:tbl>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p w:rsidR="00256A78" w:rsidRPr="00256A78" w:rsidRDefault="00256A78" w:rsidP="00256A78">
      <w:pPr>
        <w:spacing w:after="0" w:line="240" w:lineRule="auto"/>
        <w:rPr>
          <w:rFonts w:ascii="CG Times" w:eastAsia="Times New Roman" w:hAnsi="CG Times" w:cs="Times New Roman"/>
        </w:rPr>
        <w:sectPr w:rsidR="00256A78" w:rsidRPr="00256A78">
          <w:pgSz w:w="12240" w:h="15840"/>
          <w:pgMar w:top="1440" w:right="1440" w:bottom="1440" w:left="1440" w:header="720" w:footer="720" w:gutter="0"/>
          <w:cols w:space="720"/>
        </w:sectPr>
      </w:pP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lastRenderedPageBreak/>
        <w:t>Aneks nr. 1</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HIDROCENTRALET VENDORE – REHABILITIMI</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932"/>
        <w:gridCol w:w="1107"/>
        <w:gridCol w:w="592"/>
        <w:gridCol w:w="822"/>
        <w:gridCol w:w="1083"/>
        <w:gridCol w:w="1093"/>
        <w:gridCol w:w="813"/>
        <w:gridCol w:w="877"/>
        <w:gridCol w:w="886"/>
        <w:gridCol w:w="831"/>
      </w:tblGrid>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Nr.</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Emri i HEC</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Vendndodhja</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(Rrethi)</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Fuqia</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kW</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Viti i ndërtimit</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Investimi i rehabilit.</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(Elektromek. (USD)</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Invest. Punim.Civile</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(USD)</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Invest</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Logjistik</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(USD)</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Investimi Total</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(USD)</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Periudha e Investimit nga deri</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 xml:space="preserve">Maxim </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Prodh Vjetor</w:t>
            </w:r>
          </w:p>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000/kWh</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Arras</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Dibër</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1980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734,976</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124,000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913,976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2002-2003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6,500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Funares</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Librazhd</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1973</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659,000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179,000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893,000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2002-2003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5,000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Dukagjin</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Shkodër</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640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1973</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473,000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928,000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2007-2008</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Nikolicë</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Korçë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1975</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338,000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50,000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468,000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2006-2007</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1,320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Bulqizë</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Bulqizë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1974</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266,000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381,000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2006-2007</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1,600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Lure</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Dibër</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1980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245,000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104,000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389,000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2002-2003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Orgjost</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Kukës</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308,352</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413,352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2007-2008</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Lekbibaj</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Tropojë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1979</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308,352</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413,352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2007-2008</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2,700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Velçan</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Korçë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320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1980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206,000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311,000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2006-2007</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1,400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Zerqan</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Bulqizë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1976</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30,000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245,000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2006-2007</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1,400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Borsh</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Sarandë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30,000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247,000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2004-2005</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750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Leshnicë</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Sarandë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1973</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30,000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247,000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2004-2005</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750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Shoshaj</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Tropojë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1973</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183,000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30,000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2003-2004</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Ujanik</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Skrapar</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1975</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144,000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209,000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2004-2005</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Kerpicë</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Gramsh</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1075</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158,000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2003-2004</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950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w:t>
            </w:r>
            <w:r w:rsidRPr="00256A78">
              <w:rPr>
                <w:rFonts w:ascii="Times New Roman" w:eastAsia="Times New Roman" w:hAnsi="Times New Roman" w:cs="Times New Roman"/>
                <w:sz w:val="24"/>
                <w:lang w:val="en-GB"/>
              </w:rPr>
              <w:lastRenderedPageBreak/>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Barma</w:t>
            </w:r>
            <w:r w:rsidRPr="00256A78">
              <w:rPr>
                <w:rFonts w:ascii="Times New Roman" w:eastAsia="Times New Roman" w:hAnsi="Times New Roman" w:cs="Times New Roman"/>
                <w:sz w:val="24"/>
                <w:lang w:val="en-GB"/>
              </w:rPr>
              <w:lastRenderedPageBreak/>
              <w:t>sh</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Kolonjë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1070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w:t>
            </w:r>
            <w:r w:rsidRPr="00256A78">
              <w:rPr>
                <w:rFonts w:ascii="Times New Roman" w:eastAsia="Times New Roman" w:hAnsi="Times New Roman" w:cs="Times New Roman"/>
                <w:sz w:val="24"/>
                <w:lang w:val="en-GB"/>
              </w:rPr>
              <w:lastRenderedPageBreak/>
              <w:t>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217,00</w:t>
            </w:r>
            <w:r w:rsidRPr="00256A78">
              <w:rPr>
                <w:rFonts w:ascii="Times New Roman" w:eastAsia="Times New Roman" w:hAnsi="Times New Roman" w:cs="Times New Roman"/>
                <w:sz w:val="24"/>
                <w:lang w:val="en-GB"/>
              </w:rPr>
              <w:lastRenderedPageBreak/>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2004-</w:t>
            </w:r>
            <w:r w:rsidRPr="00256A78">
              <w:rPr>
                <w:rFonts w:ascii="Times New Roman" w:eastAsia="Times New Roman" w:hAnsi="Times New Roman" w:cs="Times New Roman"/>
                <w:sz w:val="24"/>
                <w:lang w:val="en-GB"/>
              </w:rPr>
              <w:lastRenderedPageBreak/>
              <w:t>2005</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670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lastRenderedPageBreak/>
              <w:t>17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Voskopojë</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Korçë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1972</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159,000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2005-2006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210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Lunik</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Librazhd</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1977</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245,000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2002-2003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Piqeras</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Sarandë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1971</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159,000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2004-2005</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860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Homesh</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Bulqizë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1974</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43,000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2005-2006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800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Muhur</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Dibër</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1976</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217,000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2003-2004</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950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Rajan</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Kolonjë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1974</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217,000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2005-2006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750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Marjan</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Korçë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1980</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152,000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217,000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2005-2006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930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Lozhan</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Korçë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1982</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2002-2003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560</w:t>
            </w:r>
          </w:p>
        </w:tc>
      </w:tr>
      <w:tr w:rsidR="00256A78" w:rsidRPr="00256A78" w:rsidTr="00256A78">
        <w:tc>
          <w:tcPr>
            <w:tcW w:w="53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Treskë 2</w:t>
            </w:r>
          </w:p>
        </w:tc>
        <w:tc>
          <w:tcPr>
            <w:tcW w:w="139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Korçë</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 </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170,000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2007-2008</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560</w:t>
            </w:r>
          </w:p>
        </w:tc>
      </w:tr>
      <w:tr w:rsidR="00256A78" w:rsidRPr="00256A78" w:rsidTr="00256A78">
        <w:tc>
          <w:tcPr>
            <w:tcW w:w="3096" w:type="dxa"/>
            <w:gridSpan w:val="3"/>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Total</w:t>
            </w:r>
          </w:p>
        </w:tc>
        <w:tc>
          <w:tcPr>
            <w:tcW w:w="763"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8,490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 </w:t>
            </w:r>
          </w:p>
        </w:tc>
        <w:tc>
          <w:tcPr>
            <w:tcW w:w="2217"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5,965,680</w:t>
            </w:r>
          </w:p>
        </w:tc>
        <w:tc>
          <w:tcPr>
            <w:tcW w:w="1474"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1,845,000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825,000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8,636,000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 </w:t>
            </w:r>
          </w:p>
        </w:tc>
        <w:tc>
          <w:tcPr>
            <w:tcW w:w="1426"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lang w:val="en-GB"/>
              </w:rPr>
              <w:t>38,210</w:t>
            </w:r>
          </w:p>
        </w:tc>
      </w:tr>
    </w:tbl>
    <w:p w:rsidR="00256A78" w:rsidRPr="00256A78" w:rsidRDefault="00256A78" w:rsidP="00256A78">
      <w:pPr>
        <w:spacing w:after="0" w:line="240" w:lineRule="auto"/>
        <w:rPr>
          <w:rFonts w:ascii="CG Times" w:eastAsia="Times New Roman" w:hAnsi="CG Times" w:cs="Times New Roman"/>
        </w:rPr>
        <w:sectPr w:rsidR="00256A78" w:rsidRPr="00256A78">
          <w:pgSz w:w="12240" w:h="15840"/>
          <w:pgMar w:top="1440" w:right="1440" w:bottom="1440" w:left="1440" w:header="720" w:footer="720" w:gutter="0"/>
          <w:cols w:space="720"/>
        </w:sectPr>
      </w:pP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lastRenderedPageBreak/>
        <w:t> </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Aneks nr.2</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Lista e hidrocentraleve me probleme nga pronarët e truallit</w:t>
      </w:r>
    </w:p>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700"/>
        <w:gridCol w:w="2880"/>
      </w:tblGrid>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Nr.</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Emri i HEC</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Vendndodhja (rrethi)</w:t>
            </w:r>
          </w:p>
        </w:tc>
      </w:tr>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Tuçep</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Bulqizë</w:t>
            </w:r>
          </w:p>
        </w:tc>
      </w:tr>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Martanesh</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Bulqizë</w:t>
            </w:r>
          </w:p>
        </w:tc>
      </w:tr>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Lenie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Gramsh</w:t>
            </w:r>
          </w:p>
        </w:tc>
      </w:tr>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Vithkuq</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Korçë</w:t>
            </w:r>
          </w:p>
        </w:tc>
      </w:tr>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Xhyrë</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Librazhd</w:t>
            </w:r>
          </w:p>
        </w:tc>
      </w:tr>
      <w:tr w:rsidR="00256A78" w:rsidRPr="00256A78" w:rsidTr="00256A78">
        <w:tc>
          <w:tcPr>
            <w:tcW w:w="9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Çorovodë</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6A78" w:rsidRPr="00256A78" w:rsidRDefault="00256A78" w:rsidP="00256A78">
            <w:pPr>
              <w:spacing w:before="100" w:beforeAutospacing="1" w:after="100" w:afterAutospacing="1" w:line="240" w:lineRule="auto"/>
              <w:jc w:val="center"/>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lang w:val="en-GB"/>
              </w:rPr>
              <w:t>Skrapar</w:t>
            </w:r>
          </w:p>
        </w:tc>
      </w:tr>
    </w:tbl>
    <w:p w:rsidR="00256A78" w:rsidRPr="00256A78" w:rsidRDefault="00256A78" w:rsidP="00256A78">
      <w:pPr>
        <w:spacing w:before="100" w:beforeAutospacing="1" w:after="100" w:afterAutospacing="1" w:line="240" w:lineRule="auto"/>
        <w:rPr>
          <w:rFonts w:ascii="Times New Roman" w:eastAsia="Times New Roman" w:hAnsi="Times New Roman" w:cs="Times New Roman"/>
          <w:sz w:val="24"/>
          <w:szCs w:val="24"/>
        </w:rPr>
      </w:pPr>
      <w:r w:rsidRPr="00256A78">
        <w:rPr>
          <w:rFonts w:ascii="Times New Roman" w:eastAsia="Times New Roman" w:hAnsi="Times New Roman" w:cs="Times New Roman"/>
          <w:sz w:val="24"/>
          <w:szCs w:val="24"/>
        </w:rPr>
        <w:t> </w:t>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A78"/>
    <w:rsid w:val="001A453F"/>
    <w:rsid w:val="00256A78"/>
    <w:rsid w:val="00485B54"/>
    <w:rsid w:val="005306ED"/>
    <w:rsid w:val="00640AA5"/>
    <w:rsid w:val="007F356A"/>
    <w:rsid w:val="008234BB"/>
    <w:rsid w:val="008F3969"/>
    <w:rsid w:val="009934C9"/>
    <w:rsid w:val="009D1B30"/>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ridata">
    <w:name w:val="numridata"/>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i">
    <w:name w:val="paragrafi"/>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
    <w:name w:val="titulli"/>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zligjpropozues">
    <w:name w:val="bazligjpropozues"/>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dosi">
    <w:name w:val="vendosi"/>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
    <w:name w:val="autoriteti"/>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emer">
    <w:name w:val="autoritetiemer"/>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titull">
    <w:name w:val="titullititull"/>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nr">
    <w:name w:val="neninr"/>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titull">
    <w:name w:val="nenititull"/>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e">
    <w:name w:val="tabele"/>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nr">
    <w:name w:val="titullinr"/>
    <w:basedOn w:val="Normal"/>
    <w:rsid w:val="00256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375860">
      <w:bodyDiv w:val="1"/>
      <w:marLeft w:val="0"/>
      <w:marRight w:val="0"/>
      <w:marTop w:val="0"/>
      <w:marBottom w:val="0"/>
      <w:divBdr>
        <w:top w:val="none" w:sz="0" w:space="0" w:color="auto"/>
        <w:left w:val="none" w:sz="0" w:space="0" w:color="auto"/>
        <w:bottom w:val="none" w:sz="0" w:space="0" w:color="auto"/>
        <w:right w:val="none" w:sz="0" w:space="0" w:color="auto"/>
      </w:divBdr>
      <w:divsChild>
        <w:div w:id="1761943389">
          <w:marLeft w:val="0"/>
          <w:marRight w:val="0"/>
          <w:marTop w:val="0"/>
          <w:marBottom w:val="0"/>
          <w:divBdr>
            <w:top w:val="none" w:sz="0" w:space="0" w:color="auto"/>
            <w:left w:val="none" w:sz="0" w:space="0" w:color="auto"/>
            <w:bottom w:val="none" w:sz="0" w:space="0" w:color="auto"/>
            <w:right w:val="none" w:sz="0" w:space="0" w:color="auto"/>
          </w:divBdr>
        </w:div>
        <w:div w:id="1161892325">
          <w:marLeft w:val="0"/>
          <w:marRight w:val="0"/>
          <w:marTop w:val="0"/>
          <w:marBottom w:val="0"/>
          <w:divBdr>
            <w:top w:val="none" w:sz="0" w:space="0" w:color="auto"/>
            <w:left w:val="none" w:sz="0" w:space="0" w:color="auto"/>
            <w:bottom w:val="none" w:sz="0" w:space="0" w:color="auto"/>
            <w:right w:val="none" w:sz="0" w:space="0" w:color="auto"/>
          </w:divBdr>
        </w:div>
        <w:div w:id="204940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3293</Words>
  <Characters>18773</Characters>
  <Application>Microsoft Office Word</Application>
  <DocSecurity>0</DocSecurity>
  <Lines>156</Lines>
  <Paragraphs>44</Paragraphs>
  <ScaleCrop>false</ScaleCrop>
  <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2</cp:revision>
  <dcterms:created xsi:type="dcterms:W3CDTF">2015-02-11T15:32:00Z</dcterms:created>
  <dcterms:modified xsi:type="dcterms:W3CDTF">2015-02-11T15:33:00Z</dcterms:modified>
</cp:coreProperties>
</file>